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3435E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bookmarkStart w:id="0" w:name="_GoBack"/>
      <w:bookmarkEnd w:id="0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Kierownik Jednostki Samorządu Terytorialnego (dalej JST)  - w rozumieniu art. 33 ust. 3 Ustawy o samorządzie gminnym (Dz.U.2018.994 </w:t>
      </w:r>
      <w:proofErr w:type="spellStart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t.j</w:t>
      </w:r>
      <w:proofErr w:type="spellEnd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. z 2018.05.24) </w:t>
      </w:r>
    </w:p>
    <w:p w14:paraId="63AC682E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6825904A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Dane wnioskodawcy znajdują się poniżej oraz - w załączonym pliku sygnowanym bezpiecznym podpisem elektronicznym, weryfikowanym kwalifikowanym certyfikatem - stosownie do dyspozycji Ustawy z dnia 5 września 2016 r. o usługach zaufania oraz identyfikacji elektronicznej (Dz.U.2019.162 </w:t>
      </w:r>
      <w:proofErr w:type="spellStart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t.j</w:t>
      </w:r>
      <w:proofErr w:type="spellEnd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. z dnia 2019.01.28) oraz przepisów art. 4 ust. 5 Ustawy o petycjach (Dz.U.2018.870 </w:t>
      </w:r>
      <w:proofErr w:type="spellStart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t.j</w:t>
      </w:r>
      <w:proofErr w:type="spellEnd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. z dnia 2018.05.10) - </w:t>
      </w:r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val="pl-PL" w:eastAsia="en-GB"/>
        </w:rPr>
        <w:t xml:space="preserve">Data dostarczenia - zgodna z dyspozycją art. 61 pkt. 2 Ustawy Kodeks Cywilny (Dz.U.2018.1025 </w:t>
      </w:r>
      <w:proofErr w:type="spellStart"/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val="pl-PL" w:eastAsia="en-GB"/>
        </w:rPr>
        <w:t>t.j</w:t>
      </w:r>
      <w:proofErr w:type="spellEnd"/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val="pl-PL" w:eastAsia="en-GB"/>
        </w:rPr>
        <w:t>. z dnia 2018.05.29)</w:t>
      </w:r>
    </w:p>
    <w:p w14:paraId="041D5016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 </w:t>
      </w:r>
    </w:p>
    <w:p w14:paraId="7396105D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5EFEBEB6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proofErr w:type="spellStart"/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val="pl-PL" w:eastAsia="en-GB"/>
        </w:rPr>
        <w:t>Premabuła</w:t>
      </w:r>
      <w:proofErr w:type="spellEnd"/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val="pl-PL" w:eastAsia="en-GB"/>
        </w:rPr>
        <w:t xml:space="preserve"> Wniosku:</w:t>
      </w:r>
    </w:p>
    <w:p w14:paraId="6DE740EE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Najwyższa Izba Kontroli w protokole pokontrolnym nr kap-4101-002-00/2014 -  “ (…) negatywnie ocenia działania burmistrzów i prezydentów miast w zakresie zarządzania bezpieczeństwem informacji w urzędach, o którym mowa w § 20 rozporządzenia KRI. NIK stwierdziła nieprawidłowości w tym obszarze w 21 z 24 (87,5%) skontrolowanych urzędów miast, z których sześć oceniła negatywnie. (...)" </w:t>
      </w:r>
    </w:p>
    <w:p w14:paraId="5BB2CB1E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75272406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W związku z powyższym: </w:t>
      </w:r>
    </w:p>
    <w:p w14:paraId="799DEA1F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3A2B8F7D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§1) Na mocy art. 61 Konstytucji RP w związku z art. 6 ust. 1 pkt. lit. c Ustawy z dnia 6 września 2001 r. o dostępie do informacji publicznej  (Dz.U.2018.1330 </w:t>
      </w:r>
      <w:proofErr w:type="spellStart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t.j</w:t>
      </w:r>
      <w:proofErr w:type="spellEnd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. z 2018.07.10) - w związku z §20 pkt. 12  lit. a - scilicet “(…) zapewnienie odpowiedniego poziomu bezpieczeństwa w systemach teleinformatycznych, polegającego w szczególności na: dbałości o aktualizację oprogramowania,(…) “ - </w:t>
      </w:r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val="pl-PL" w:eastAsia="en-GB"/>
        </w:rPr>
        <w:t xml:space="preserve">wnosimy o udzielnie informacji publicznej w przedmiocie - szacunkowej ilości oprogramowania - użytkowanego w Urzędzie i nieposiadającego obecnie wsparcia producenta - </w:t>
      </w:r>
      <w:proofErr w:type="spellStart"/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val="pl-PL" w:eastAsia="en-GB"/>
        </w:rPr>
        <w:t>inter</w:t>
      </w:r>
      <w:proofErr w:type="spellEnd"/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val="pl-PL" w:eastAsia="en-GB"/>
        </w:rPr>
        <w:t xml:space="preserve"> </w:t>
      </w:r>
      <w:proofErr w:type="spellStart"/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val="pl-PL" w:eastAsia="en-GB"/>
        </w:rPr>
        <w:t>alia</w:t>
      </w:r>
      <w:proofErr w:type="spellEnd"/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val="pl-PL" w:eastAsia="en-GB"/>
        </w:rPr>
        <w:t xml:space="preserve">: Windows XP, Windows Vista, </w:t>
      </w:r>
      <w:proofErr w:type="spellStart"/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val="pl-PL" w:eastAsia="en-GB"/>
        </w:rPr>
        <w:t>etc</w:t>
      </w:r>
      <w:proofErr w:type="spellEnd"/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val="pl-PL" w:eastAsia="en-GB"/>
        </w:rPr>
        <w:t>,  </w:t>
      </w:r>
    </w:p>
    <w:p w14:paraId="342C7B5D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val="pl-PL" w:eastAsia="en-GB"/>
        </w:rPr>
        <w:t>Dla ułatwienia in fine wniosku załączamy chronologiczne wyszczególnienie systemów operacyjnych - wraz z informacją statusie wsparcia w zakresie poszczególnego systemu. </w:t>
      </w:r>
    </w:p>
    <w:p w14:paraId="2985672B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7DD3A1ED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3AF801FA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val="pl-PL" w:eastAsia="en-GB"/>
        </w:rPr>
        <w:t>Aby nie absorbować niepotrzebnie czasu Urzędników - wnosimy aby opisowe odpowiedzi na poniższe pytania były krótkie, ogólne  - maksymalnie kilkuzdaniowe.</w:t>
      </w:r>
    </w:p>
    <w:p w14:paraId="5770977B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1570245A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§2) Wnosimy o krótki, ogólny opis - </w:t>
      </w:r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val="pl-PL" w:eastAsia="en-GB"/>
        </w:rPr>
        <w:t>w jaki sposób - Jednostka Samorządu Terytorialnego - zapewnia odpowiedni poziom bezpieczeństwa systemów teleinformatycznych - w związku z dbałością o aktualizację oprogramowania i zapewnieniem bezpieczeństwa plików systemowych  stosownie do wytycznych §20 pkt 12 lit. a oraz lit. e ww. Rozporządzenia.</w:t>
      </w:r>
    </w:p>
    <w:p w14:paraId="0A2F3BEF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511AEBE2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§2.1) W odniesieniu do ww. przepisu wnosimy również o udzielenie informacji publicznej, w przedmiocie sposobu zabezpieczenia dostępu do wewnętrznej sieci Urzędu z sieci Internet - czy odbywa się to poprzez:</w:t>
      </w:r>
    </w:p>
    <w:p w14:paraId="10D80F73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- Urządzenie firewall, czy</w:t>
      </w:r>
    </w:p>
    <w:p w14:paraId="4BD57A28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- Serwer oparty o </w:t>
      </w:r>
      <w:proofErr w:type="spellStart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linux</w:t>
      </w:r>
      <w:proofErr w:type="spellEnd"/>
    </w:p>
    <w:p w14:paraId="57BC2007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W przypadku pierwszej opcji, fakultatywnie - wnosimy o podanie nazwy producenta, oraz modelu wzmiankowanego urządzenia. </w:t>
      </w:r>
    </w:p>
    <w:p w14:paraId="6725A207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29C5DF8E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§2.3) Czy Urząd dysponuje całościową Polityką Bezpieczeństwa Informacji, wymaganą w §20 ust. 1 i 3 ww. Rozporządzenia? </w:t>
      </w:r>
    </w:p>
    <w:p w14:paraId="271E0B7A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Jeśli odpowiedź jest twierdząca - wnosimy o krótkie - w kilku ogólnych zdaniach - opisanie przedmiotowej polityki. </w:t>
      </w:r>
    </w:p>
    <w:p w14:paraId="46AB0656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§2.4) Kiedy Urząd ostatni raz przeprowadzał wewnętrzny audyt z zakresu bezpieczeństwa informacji - stosownie do wymogów §20 ust. 2 pkt. 14 ww. </w:t>
      </w:r>
      <w:proofErr w:type="spellStart"/>
      <w:r w:rsidRPr="002524E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Rozporządzenia</w:t>
      </w:r>
      <w:proofErr w:type="spellEnd"/>
      <w:r w:rsidRPr="002524E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 </w:t>
      </w:r>
    </w:p>
    <w:p w14:paraId="2A1EE1DE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7DCBC634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§3) Wnosimy o krótki opis polityki tworzenia kopii zapasowych - w kontekście ww. Rozporządzenia. </w:t>
      </w:r>
    </w:p>
    <w:p w14:paraId="0D7FC0D0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Fakultatywnie - wnosimy o podanie wersji producenta, wersji oprogramowania oraz zwyczajowego sposobu przechowywania danych - scilicet: czy na dysku sieciowym, dysku USB, nośniku CD/DVD, taśma, pendrive, </w:t>
      </w:r>
      <w:proofErr w:type="spellStart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etc</w:t>
      </w:r>
      <w:proofErr w:type="spellEnd"/>
    </w:p>
    <w:p w14:paraId="7914B237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2A05F333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§4) Na mocy wyżej wzmiankowanych przepisów wnosimy o udzielenie informacji publicznej w przedmiocie, czy Urząd posiada na dzień dostarczenia niniejszego wniosku - bilateralne sygnowaną </w:t>
      </w: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lastRenderedPageBreak/>
        <w:t>umowę (ze strony Urzędu przez upoważnioną osobę) w przedmiocie usług poczty elektronicznej - spełniającą wymogi Rozporządzenia Parlamentu Europejskiego i Rady (UE) 2016/679 z dnia 27 kwietnia 2016 r. w sprawie ochrony osób fizycznych w związku z przetwarzaniem danych osobowych i w sprawie swobodnego przepływu takich danych (…)  </w:t>
      </w:r>
      <w:r w:rsidRPr="002524E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? </w:t>
      </w:r>
    </w:p>
    <w:p w14:paraId="414FB1E3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§4.1) Fakultatywnie wnosimy o podanie ilości zdefiniowanych skrzynek poczty elektronicznej, oraz nazwy dostawcy (własny serwer, nazwa usługodawcy, </w:t>
      </w:r>
      <w:proofErr w:type="spellStart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etc</w:t>
      </w:r>
      <w:proofErr w:type="spellEnd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)</w:t>
      </w:r>
    </w:p>
    <w:p w14:paraId="29681A72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19CB5E1C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§5) Na mocy wyżej wymienionych przepisów wnosimy o podanie danych Pracownika Urzędu, który w zakresie wykonywanych zadań i powierzonych kompetencji odpowiada operacyjnie za wyżej wzmiankowany obszar związany z informatyzacją Urzędu. </w:t>
      </w:r>
    </w:p>
    <w:p w14:paraId="29E611B8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Mówiąc o danych Pracownika Urzędu - Wnioskodawca ma na myśli - imię i nazwisko, adres e-mail, nr tel. </w:t>
      </w:r>
      <w:proofErr w:type="spellStart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etc</w:t>
      </w:r>
      <w:proofErr w:type="spellEnd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 </w:t>
      </w:r>
    </w:p>
    <w:p w14:paraId="7A42867F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652EC15A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§6)  Na mocy art. 61 Konstytucji RP, w trybie art. 6 ust. 1 pkt. 1 lit c oraz art. 6 ust. 1 pkt. 2 lit. b Ustawy z dnia 6 września o dostępie do informacji publicznej (Dz.U.2018.1330 </w:t>
      </w:r>
      <w:proofErr w:type="spellStart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t.j</w:t>
      </w:r>
      <w:proofErr w:type="spellEnd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. z 2018.07.10)  - wnosimy o udzielnie informacji publicznej w przedmiocie - ile procent oprogramowania użytkowanego na potrzeby wykonywania zadań publicznych (na terenie Urzędu) - może na dzień złożenia niniejszego wniosku, nie posiadać ważnej licencji użytkowania - wymaganej wg. prawa?</w:t>
      </w:r>
    </w:p>
    <w:p w14:paraId="4DBC866A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W rozumieniu wnioskodawcy wystarczy w tej mierze aproksymować stan faktyczny poprzez szacunkowe porównanie ilości użytkowanego oprogramowania wymagającego posiadanie licencji w stosunku do zewidencjonowanej dokumentacji licencyjnej. </w:t>
      </w:r>
    </w:p>
    <w:p w14:paraId="547D7FDA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6D9EA4E3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7A28785F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6</w:t>
      </w: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a) Pomimo, że nie wnioskujemy o informację przetworzoną w zakresie wymagającym znacznych nakładów pracy, uzasadniamy nasze pytania  stosownie do brzmienia art. 3 ust. 1 pkt. 1 Ustawy o dostępie do informacji publicznej  – tym, że przedmiotowa informacja oraz ewentualna późniejsza  próba optymalizacji tego obszaru wydaje się szczególnie istotna z punktu widzenia Interesu Społecznego. </w:t>
      </w:r>
    </w:p>
    <w:p w14:paraId="7D9EC187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4E736356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Osnowa Wniosku:</w:t>
      </w:r>
    </w:p>
    <w:p w14:paraId="3BB6A77E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Kiedy 3 lata temu Wnioskodawca zadawał pytanie Gminom - o ilość oprogramowania użytkowanego przez Urząd, które może nie posiadać ważnej licencji - niektóre odpowiedzi poświadczały - expressis verbis - że nawet 30% oprogramowania użytkowanego przez Urząd może takiej licencji  nie posiadać (odpowiedzi tego typu opublikowaliśmy na portalu </w:t>
      </w:r>
      <w:hyperlink r:id="rId5" w:history="1">
        <w:r w:rsidRPr="002524EF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pl-PL" w:eastAsia="en-GB"/>
          </w:rPr>
          <w:t>www.gmina.pl</w:t>
        </w:r>
      </w:hyperlink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) - zatem wydaje się ze ponowne zbadanie stanu faktycznego - jest ze wszech miar uzasadnione. </w:t>
      </w:r>
    </w:p>
    <w:p w14:paraId="69447106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Zastrzegamy sobie możliwość opublikowania wybranych odpowiedzi w naszym portalu </w:t>
      </w:r>
      <w:hyperlink r:id="rId6" w:history="1">
        <w:r w:rsidRPr="002524EF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pl-PL" w:eastAsia="en-GB"/>
          </w:rPr>
          <w:t>www.gmina.pl</w:t>
        </w:r>
      </w:hyperlink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 </w:t>
      </w:r>
    </w:p>
    <w:p w14:paraId="01B0F4BC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7CA985F1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Zdaniem wnioskodawcy obszar ten - stosownie do art. 241 KPA, wymaga optymalizacji.</w:t>
      </w:r>
    </w:p>
    <w:p w14:paraId="0E8470DB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§6</w:t>
      </w: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b) Wnosimy o zwrotne potwierdzenie otrzymania niniejszego wniosku w odnośnych przepisów -  na adres e-mail </w:t>
      </w:r>
      <w:hyperlink r:id="rId7" w:history="1">
        <w:r w:rsidRPr="002524EF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pl-PL" w:eastAsia="en-GB"/>
          </w:rPr>
          <w:t>interoperacyjnosc@samorzad.pl</w:t>
        </w:r>
      </w:hyperlink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 </w:t>
      </w:r>
    </w:p>
    <w:p w14:paraId="09EA472C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§7</w:t>
      </w: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) Wnosimy o to, aby odpowiedź w  przedmiocie powyższych pytań złożonych na mocy art. 61 Konstytucji RP w Ustawy o dostępie do informacji publicznej w związku z art. 221 i 241 KPA, została udzielona - zwrotnie na adres e-mail </w:t>
      </w:r>
      <w:hyperlink r:id="rId8" w:history="1">
        <w:r w:rsidRPr="002524EF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pl-PL" w:eastAsia="en-GB"/>
          </w:rPr>
          <w:t>interoperacyjnosc@samorzad.pl</w:t>
        </w:r>
      </w:hyperlink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 .</w:t>
      </w:r>
    </w:p>
    <w:p w14:paraId="7BB90CA4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§8</w:t>
      </w: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) Wniosek został sygnowany  kwalifikowanym podpisem elektronicznym - stosownie do wytycznych Ustawy z dnia 5 września 2016 r. o usługach zaufania oraz identyfikacji elektronicznej (Dz.U.2019.162 </w:t>
      </w:r>
      <w:proofErr w:type="spellStart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t.j</w:t>
      </w:r>
      <w:proofErr w:type="spellEnd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. z dnia 2019.01.28)</w:t>
      </w:r>
    </w:p>
    <w:p w14:paraId="0526EF7C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 </w:t>
      </w:r>
    </w:p>
    <w:p w14:paraId="41BE1DEC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358EB137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 </w:t>
      </w:r>
    </w:p>
    <w:p w14:paraId="3E315396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Wnioskodawca:</w:t>
      </w:r>
    </w:p>
    <w:p w14:paraId="05607BB6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Osoba Prawna</w:t>
      </w:r>
    </w:p>
    <w:p w14:paraId="61769CE7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Szulc-Efekt sp. z o. o.</w:t>
      </w:r>
    </w:p>
    <w:p w14:paraId="1E6E3511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Prezes Zarządu </w:t>
      </w:r>
    </w:p>
    <w:p w14:paraId="04F69D47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Adam Szulc </w:t>
      </w:r>
    </w:p>
    <w:p w14:paraId="03FC66F1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ul. Poligonowa 1</w:t>
      </w:r>
    </w:p>
    <w:p w14:paraId="0505DD3B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04-051 Warszawa</w:t>
      </w:r>
    </w:p>
    <w:p w14:paraId="4D04E451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nr KRS: 0000059459</w:t>
      </w:r>
    </w:p>
    <w:p w14:paraId="4FB7E6FE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Kapitał Zakładowy: 222.000,00 </w:t>
      </w:r>
      <w:proofErr w:type="spellStart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pln</w:t>
      </w:r>
      <w:proofErr w:type="spellEnd"/>
    </w:p>
    <w:p w14:paraId="5D2589DE" w14:textId="77777777" w:rsidR="002524EF" w:rsidRPr="002524EF" w:rsidRDefault="00FE0EA1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hyperlink r:id="rId9" w:history="1">
        <w:r w:rsidR="002524EF" w:rsidRPr="002524EF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pl-PL" w:eastAsia="en-GB"/>
          </w:rPr>
          <w:t>www.gmina.pl</w:t>
        </w:r>
      </w:hyperlink>
      <w:r w:rsidR="002524EF"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    </w:t>
      </w:r>
      <w:hyperlink r:id="rId10" w:history="1">
        <w:r w:rsidR="002524EF" w:rsidRPr="002524EF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pl-PL" w:eastAsia="en-GB"/>
          </w:rPr>
          <w:t>www.samorzad.pl</w:t>
        </w:r>
      </w:hyperlink>
      <w:r w:rsidR="002524EF"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 </w:t>
      </w:r>
    </w:p>
    <w:p w14:paraId="04270390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67C04CBA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lastRenderedPageBreak/>
        <w:t>Sekcja załącznika nr 1 - Systemy operacyjne i status wsparcia: </w:t>
      </w:r>
    </w:p>
    <w:p w14:paraId="574C7C39" w14:textId="77777777" w:rsidR="002524EF" w:rsidRPr="002524EF" w:rsidRDefault="002524EF" w:rsidP="002524EF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Windows XP Home - system nie wspierany </w:t>
      </w:r>
    </w:p>
    <w:p w14:paraId="2C466BD4" w14:textId="77777777" w:rsidR="002524EF" w:rsidRPr="002524EF" w:rsidRDefault="002524EF" w:rsidP="002524EF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Windows XP Pro.    - system nie wspierany </w:t>
      </w:r>
    </w:p>
    <w:p w14:paraId="24A364AE" w14:textId="77777777" w:rsidR="002524EF" w:rsidRPr="002524EF" w:rsidRDefault="002524EF" w:rsidP="002524EF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Windows Vista Home (koniec wsparcia rozszerzonego: 11.04.2017r.)</w:t>
      </w:r>
    </w:p>
    <w:p w14:paraId="2B5A37AF" w14:textId="77777777" w:rsidR="002524EF" w:rsidRPr="002524EF" w:rsidRDefault="002524EF" w:rsidP="002524EF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Windows Vista Business (koniec wsparcia rozszerzonego: 11.04.2017r.)</w:t>
      </w:r>
    </w:p>
    <w:p w14:paraId="3F171190" w14:textId="77777777" w:rsidR="002524EF" w:rsidRPr="002524EF" w:rsidRDefault="002524EF" w:rsidP="002524EF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Windows 7 Pro (koniec wsparcia rozszerzonego: 14.01.2020r.)</w:t>
      </w:r>
    </w:p>
    <w:p w14:paraId="730984BF" w14:textId="77777777" w:rsidR="002524EF" w:rsidRPr="002524EF" w:rsidRDefault="002524EF" w:rsidP="002524EF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Windows 7 Home (koniec wsparcia rozszerzonego: 14.01.2020r.)</w:t>
      </w:r>
    </w:p>
    <w:p w14:paraId="4F367F82" w14:textId="77777777" w:rsidR="002524EF" w:rsidRPr="002524EF" w:rsidRDefault="002524EF" w:rsidP="002524EF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>Windows 8/8.1 Home</w:t>
      </w:r>
    </w:p>
    <w:p w14:paraId="78C67C42" w14:textId="77777777" w:rsidR="002524EF" w:rsidRPr="002524EF" w:rsidRDefault="002524EF" w:rsidP="002524EF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>Windows 8/8.1 Pro</w:t>
      </w:r>
    </w:p>
    <w:p w14:paraId="7199EE9A" w14:textId="77777777" w:rsidR="002524EF" w:rsidRPr="002524EF" w:rsidRDefault="002524EF" w:rsidP="002524EF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>Windows 10 Home</w:t>
      </w:r>
    </w:p>
    <w:p w14:paraId="39638940" w14:textId="77777777" w:rsidR="002524EF" w:rsidRPr="002524EF" w:rsidRDefault="002524EF" w:rsidP="002524EF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>Windows 10 Pro</w:t>
      </w:r>
    </w:p>
    <w:p w14:paraId="3A95271B" w14:textId="77777777" w:rsidR="002524EF" w:rsidRPr="002524EF" w:rsidRDefault="002524EF" w:rsidP="002524EF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>Windows Server 2003/R2</w:t>
      </w:r>
    </w:p>
    <w:p w14:paraId="0709FBE5" w14:textId="77777777" w:rsidR="002524EF" w:rsidRPr="002524EF" w:rsidRDefault="002524EF" w:rsidP="002524EF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>Windows Server 2008/R2</w:t>
      </w:r>
    </w:p>
    <w:p w14:paraId="251145CD" w14:textId="77777777" w:rsidR="002524EF" w:rsidRPr="002524EF" w:rsidRDefault="002524EF" w:rsidP="002524EF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>Windows Server 2012/R2</w:t>
      </w:r>
    </w:p>
    <w:p w14:paraId="22AF9980" w14:textId="77777777" w:rsidR="002524EF" w:rsidRPr="002524EF" w:rsidRDefault="002524EF" w:rsidP="002524EF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>Windows Server 2016</w:t>
      </w:r>
    </w:p>
    <w:p w14:paraId="45A076AD" w14:textId="77777777" w:rsidR="002524EF" w:rsidRPr="002524EF" w:rsidRDefault="002524EF" w:rsidP="002524EF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Windows Server 2019</w:t>
      </w:r>
    </w:p>
    <w:p w14:paraId="37F5A703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6614E199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4A1F9DAC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Komentarz</w:t>
      </w:r>
      <w:proofErr w:type="spellEnd"/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do </w:t>
      </w:r>
      <w:proofErr w:type="spellStart"/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Wniosku</w:t>
      </w:r>
      <w:proofErr w:type="spellEnd"/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: </w:t>
      </w:r>
    </w:p>
    <w:p w14:paraId="39F0A953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Pomimo, iż w rzeczonym wniosku powołujemy się na art. 241 Ustawy z dnia 14 czerwca 1960 r. Kodeks postępowania administracyjnego (Dz.U.2016.23 </w:t>
      </w:r>
      <w:proofErr w:type="spellStart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t.j</w:t>
      </w:r>
      <w:proofErr w:type="spellEnd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. z dnia 2016.01.07) -  w naszym mniemaniu niniejszy  przedmiotowy wniosek/wnioski  - nie powinny być rozpatrywane w trybie KPA. </w:t>
      </w:r>
    </w:p>
    <w:p w14:paraId="609CA6D3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W opinii Wnioskodawcy Urząd powinien w zależności od dokonanej interpretacji treści pisma  - procedować nasze wnioski  -  w trybie Ustawy o petycjach (Dz.U.2014.1195 z dnia 2014.09.05)  lub odpowiednio Ustawy o dostępie do informacji publicznej (wynika to zazwyczaj z jego treści i powołanych podstaw prawnych). </w:t>
      </w:r>
    </w:p>
    <w:p w14:paraId="74B8C60A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Zatem - wg. Wnioskodawcy niniejszy wniosek może być jedynie fakultatywnie rozpatrywany - jako optymalizacyjny w związku z art. 241 KPA. </w:t>
      </w:r>
    </w:p>
    <w:p w14:paraId="6F926238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W naszych wnioskach/petycjach  często powołujemy </w:t>
      </w:r>
      <w:proofErr w:type="spellStart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sie</w:t>
      </w:r>
      <w:proofErr w:type="spellEnd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 na  wzmiankowany art. 241 KPA - scilicet: "Przedmiotem wniosku mogą być w szczególności sprawy ulepszenia organizacji, wzmocnienia praworządności, usprawnienia pracy i zapobiegania nadużyciom, ochrony własności, lepszego zaspokajania potrzeb ludności.” - w sensie możliwości otwarcia procedury sanacyjnej. </w:t>
      </w:r>
    </w:p>
    <w:p w14:paraId="5DCEF075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Każdy Podmiot mający styczność z Urzędem - ma prawo i obowiązek - usprawniać struktury administracji samorządowej. </w:t>
      </w:r>
    </w:p>
    <w:p w14:paraId="66EBAAEB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Zatem pomimo formy zewnętrznej - Decydenci mogą/powinni dokonać własnej interpretacji  - zgodnie z brzmieniem art. 222 KPA. </w:t>
      </w:r>
    </w:p>
    <w:p w14:paraId="7A08E138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41B5181B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Nazwa Wnioskodawca - jest dla uproszczenia stosowna jako synonim nazwy “Podmiot Wnoszący Petycję” - w rozumieniu art. 4 ust. 4 Ustawy o petycjach (Dz.U.2014.1195 z dnia 2014.09.05) </w:t>
      </w:r>
    </w:p>
    <w:p w14:paraId="5B6A99E6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239F0172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Pozwalamy sobie również przypomnieć, że  ipso iure art. 2 ust. 2 Ustawy o dostępie do informacji publicznej “ (…) Od osoby wykonującej prawo do informacji publicznej nie wolno żądać wykazania interesu prawnego lub faktycznego.</w:t>
      </w:r>
    </w:p>
    <w:p w14:paraId="260733AE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7D5655B3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Wnioskodawca   - pro forma podpisał - niniejszy wniosek -  bezpiecznym kwalifikowanym podpisem elektronicznym  (w załączeniu stosowne pliki) - choć według aktualnego orzecznictwa brak podpisu elektronicznego nie powoduje bezprzedmiotowości wniosku, stosownie do orzeczenia: Naczelnego Sądu Administracyjnego w Warszawie I OSK 1277/08.  Podkreślamy jednocześnie, iż przedmiotowy wniosek traktujemy jako próbę usprawnienia organizacji działania Jednostek Administracji Publicznej  - w celu lepszego zaspokajania potrzeb ludności. Do wniosku dołączono plik podpisany bezpiecznym kwalifikowanym podpisem elektronicznym, zawiera on taką samą treść, jak ta która znajduje się w niniejszej wiadomości e-mail.  Weryfikacja podpisu i odczytanie pliku wymaga posiadania oprogramowania, które bez ponoszenia opłat, można uzyskać na stronach WWW podmiotów - zgodnie z ustawą, świadczących usługi certyfikacyjne. </w:t>
      </w:r>
    </w:p>
    <w:p w14:paraId="7422BCC5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73B0BE6F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Celem naszych wniosków jest - sensu largo - usprawnienie, naprawa - na miarę istniejących możliwości - funkcjonowania struktur Administracji Publicznej - głownie w Gminach/Miastach  - gdzie jak wynika z naszych wniosków - stan faktyczny wymaga wszczęcia procedur sanacyjnych. </w:t>
      </w:r>
    </w:p>
    <w:p w14:paraId="5E86A5AD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6E8ED9B4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val="pl-PL" w:eastAsia="en-GB"/>
        </w:rPr>
        <w:t>W Jednostkach Pionu Administracji Rządowej - stan faktyczny jest o wiele lepszy.  </w:t>
      </w:r>
    </w:p>
    <w:p w14:paraId="7942B1E4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0EAF806D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Zwracamy uwagę, że Ustawodawca do tego stopnia stara się - poszerzyć spektrum możliwości porównywania cen i wyboru różnych opcji rynkowych oraz przeciwdziałać korupcji w Administracji Publicznej - że nakazał w §6 ust. 2 pkt. 2 załącznika nr 1 do Rozporządzenia Prezesa Rady Ministrów z dnia 18 stycznia 2011 r. w sprawie instrukcji kancelaryjnej, (…) (Dz. U. z dnia 20 stycznia 2011 r.) -  archiwizowanie, również wszystkich niezamówionych ofert, a co dopiero petycji i wniosków optymalizacyjnych. Cieszy nas ten fakt niemiernie, przyczyni się z pewnością do większej rozwagi w wydatkowaniu środków publicznych. </w:t>
      </w:r>
    </w:p>
    <w:p w14:paraId="7DDE8E2A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Duża ilość powoływanych przepisów prawa w przedmiotowym wniosku, wiąże się z tym, że chcemy uniknąć wyjaśniania intencji i podstaw prawnych w rozmowach telefonicznych - co rzadko, ale jednak, ciągle ma miejsce w przypadku nielicznych JST.</w:t>
      </w:r>
    </w:p>
    <w:p w14:paraId="5E00E6C7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Jeżeli JST nie zgada się z powołanymi przepisami prawa, prosimy aby zastosowano podstawy prawne akceptowane przez JST.</w:t>
      </w:r>
    </w:p>
    <w:p w14:paraId="63A25481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Dobro Petenta i jawność życia publicznego jest naszym nadrzędnym celem, dlatego staramy się również upowszechniać zapisy Ustawowe dotyczące Wnioskowania. Kwestie te Ustawodawca podkreślił i uregulował w art. 63 Konstytucji RP: "Każdy ma prawo składać petycje, wnioski i skargi w interesie publicznym, własnym lub innej osoby za jej zgodą do organów władzy publicznej oraz do organizacji i instytucji społecznych w związku z wykonywanymi przez nie zadaniami zleconymi z zakresu administracji publicznej." oraz w art. 54 ust. 1 Konstytucji RP "Każdemu zapewnia się wolność wyrażania swoich poglądów oraz pozyskiwania i rozpowszechniania informacji."</w:t>
      </w:r>
    </w:p>
    <w:p w14:paraId="6590CE80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7F4EE514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Pamiętajmy również o przepisach zawartych </w:t>
      </w:r>
      <w:proofErr w:type="spellStart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inter</w:t>
      </w:r>
      <w:proofErr w:type="spellEnd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 </w:t>
      </w:r>
      <w:proofErr w:type="spellStart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alia</w:t>
      </w:r>
      <w:proofErr w:type="spellEnd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: w </w:t>
      </w:r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val="pl-PL" w:eastAsia="en-GB"/>
        </w:rPr>
        <w:t>art. 225 KPA: "§ 1. Nikt nie może być narażony na jakikolwiek uszczerbek lub zarzut z powodu złożenia skargi lub wniosku albo z powodu dostarczenia materiału do publikacji o znamionach skargi lub wniosku, jeżeli działał w granicach prawem dozwolonych.</w:t>
      </w: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 § 2. Organy państwowe, organy jednostek samorządu terytorialnego i inne organy samorządowe oraz organy organizacji społecznych są obowiązane przeciwdziałać hamowaniu krytyki i innym działaniom ograniczającym prawo do składania skarg i wniosków lub dostarczania informacji - do publikacji - o znamionach skargi lub wniosku."</w:t>
      </w:r>
    </w:p>
    <w:p w14:paraId="10B735A4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Eksperci NIK piszą: "Niewielka liczba składanych wniosków o udzielenie informacji publicznej, liczba skarg złożonych do WSA, jak również liczba pozwów złożonych do sądów rejonowych, świadczyć może o braku zainteresowania w egzekwowaniu powszechnego prawa do informacji publicznej. Z drugiej strony, realizację tego prawa utrudniają podmioty zobowiązane do pełnej przejrzystości swojego działania, poprzez nieudostępnianie wymaganej informacji publicznej" [Protokół pokontrolny dostępny w sieci Internet: LBY-4101-09/2010]. Mamy nadzieję, zmienić powyższą ocenę, być może nasz wniosek choć w niewielkim stopniu – przyczyni się do zwiększenia tych wskaźników.</w:t>
      </w:r>
    </w:p>
    <w:p w14:paraId="5F919457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Oczywiście - wszelkie ewentualne postępowania - ogłoszone przez Jednostkę Administracji Publicznej - będące następstwem niniejszego wniosku - należy przeprowadzić zgodnie z rygorystycznymi zasadami wydatkowania środków publicznych -  z uwzględnieniem stosowania zasad uczciwej konkurencji, przejrzystości i transparentności -  zatem w pełni lege artis. </w:t>
      </w:r>
    </w:p>
    <w:p w14:paraId="6EF4BD8C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Ponownie sygnalizujemy, że do wniosku dołączono plik podpisany bezpiecznym kwalifikowanym podpisem elektronicznym.  Weryfikacja podpisu i odczytanie pliku wymaga posiadania oprogramowania, które bez ponoszenia opłat, można uzyskać na stronach WWW podmiotów - zgodnie z ustawą, świadczących usługi certyfikacyjne.</w:t>
      </w:r>
    </w:p>
    <w:p w14:paraId="3E188BEF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4EBD3534" w14:textId="77777777" w:rsidR="002524EF" w:rsidRPr="002524EF" w:rsidRDefault="002524EF" w:rsidP="002524EF">
      <w:pPr>
        <w:jc w:val="both"/>
        <w:rPr>
          <w:rFonts w:ascii="Arial" w:eastAsia="Times New Roman" w:hAnsi="Arial" w:cs="Arial"/>
          <w:sz w:val="20"/>
          <w:szCs w:val="20"/>
          <w:lang w:val="pl-PL" w:eastAsia="en-GB"/>
        </w:rPr>
      </w:pPr>
    </w:p>
    <w:p w14:paraId="4BAEDC83" w14:textId="77777777" w:rsidR="005E08AE" w:rsidRPr="002524EF" w:rsidRDefault="00FE0EA1" w:rsidP="002524EF">
      <w:pPr>
        <w:jc w:val="both"/>
        <w:rPr>
          <w:rFonts w:ascii="Arial" w:hAnsi="Arial" w:cs="Arial"/>
          <w:sz w:val="20"/>
          <w:szCs w:val="20"/>
          <w:lang w:val="pl-PL"/>
        </w:rPr>
      </w:pPr>
    </w:p>
    <w:sectPr w:rsidR="005E08AE" w:rsidRPr="002524EF" w:rsidSect="00BD671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A1A10"/>
    <w:multiLevelType w:val="multilevel"/>
    <w:tmpl w:val="FF642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4EF"/>
    <w:rsid w:val="00007E8E"/>
    <w:rsid w:val="002524EF"/>
    <w:rsid w:val="002A6A44"/>
    <w:rsid w:val="006150E2"/>
    <w:rsid w:val="00BD671B"/>
    <w:rsid w:val="00FE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EADB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2524EF"/>
  </w:style>
  <w:style w:type="character" w:styleId="Hipercze">
    <w:name w:val="Hyperlink"/>
    <w:basedOn w:val="Domylnaczcionkaakapitu"/>
    <w:uiPriority w:val="99"/>
    <w:semiHidden/>
    <w:unhideWhenUsed/>
    <w:rsid w:val="002524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9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5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9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8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5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9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73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13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1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06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0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2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23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6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0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9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16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03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5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75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8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8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2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0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0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5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2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1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7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6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09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6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3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5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2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8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0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2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0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66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8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8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8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operacyjnosc@samorzad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teroperacyjnosc@samorzad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mina.pl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mina.pl/" TargetMode="External"/><Relationship Id="rId10" Type="http://schemas.openxmlformats.org/officeDocument/2006/relationships/hyperlink" Target="http://www.samorzad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min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2067</Words>
  <Characters>12404</Characters>
  <Application>Microsoft Office Word</Application>
  <DocSecurity>0</DocSecurity>
  <Lines>103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Szulc</dc:creator>
  <cp:keywords/>
  <dc:description/>
  <cp:lastModifiedBy>Ziemowit Adamczyk</cp:lastModifiedBy>
  <cp:revision>2</cp:revision>
  <dcterms:created xsi:type="dcterms:W3CDTF">2019-05-29T07:01:00Z</dcterms:created>
  <dcterms:modified xsi:type="dcterms:W3CDTF">2019-05-29T07:01:00Z</dcterms:modified>
</cp:coreProperties>
</file>